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BDBDB" w14:textId="59DE0CDE" w:rsidR="006F15D0" w:rsidRPr="00D044AF" w:rsidRDefault="006F15D0" w:rsidP="006F1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44AF">
        <w:rPr>
          <w:rFonts w:ascii="Times New Roman" w:hAnsi="Times New Roman" w:cs="Times New Roman"/>
          <w:b/>
          <w:sz w:val="28"/>
          <w:szCs w:val="28"/>
        </w:rPr>
        <w:t>Задача 6</w:t>
      </w:r>
    </w:p>
    <w:p w14:paraId="7357BB6E" w14:textId="099B6216" w:rsidR="0008795E" w:rsidRPr="00D044AF" w:rsidRDefault="0008795E" w:rsidP="006F1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4AF">
        <w:rPr>
          <w:rFonts w:ascii="Times New Roman" w:eastAsia="Times New Roman" w:hAnsi="Times New Roman" w:cs="Times New Roman"/>
          <w:b/>
          <w:sz w:val="28"/>
          <w:szCs w:val="28"/>
        </w:rPr>
        <w:t>Исследование целесообразности применения постоянного тока для построения сети освещения жилых домов и офисных учреждений</w:t>
      </w:r>
    </w:p>
    <w:bookmarkEnd w:id="0"/>
    <w:p w14:paraId="290E8B3C" w14:textId="77777777" w:rsidR="006F15D0" w:rsidRPr="00943F90" w:rsidRDefault="006F15D0" w:rsidP="006F1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E5FEE" w14:textId="77777777" w:rsidR="0008795E" w:rsidRPr="00F32E4D" w:rsidRDefault="0008795E" w:rsidP="00087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искусственного освещения жилых домов и общественных зданий в настоящее время,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энергоэффективные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светильники на основе светодиодных ламп. Так как сами светодиоды требуют постоянного напряжения, то светодиодные лампы и светильники имеют встроенные электронные импульсные источники питания, преобразующие переменное напряжение 230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постоянное напряжение. Данные источники питания увеличивают стоимость светильников и снижают их коэффициент полезного действия. При использовании для освещения сети постоянного тока следует учитывать изменение затрат на сеть постоянного тока, по сравнению с сетью переменного тока, а также оптимизировать величину напряжения этой сети.</w:t>
      </w:r>
    </w:p>
    <w:p w14:paraId="2D72CF68" w14:textId="77777777" w:rsidR="0008795E" w:rsidRPr="009E45F3" w:rsidRDefault="0008795E" w:rsidP="00087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5F3">
        <w:rPr>
          <w:rFonts w:ascii="Times New Roman" w:eastAsia="Times New Roman" w:hAnsi="Times New Roman" w:cs="Times New Roman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88B8720" w14:textId="77777777" w:rsidR="0008795E" w:rsidRPr="008F248C" w:rsidRDefault="0008795E" w:rsidP="0008795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48C">
        <w:rPr>
          <w:rFonts w:ascii="Times New Roman" w:eastAsia="Times New Roman" w:hAnsi="Times New Roman" w:cs="Times New Roman"/>
          <w:sz w:val="28"/>
          <w:szCs w:val="28"/>
        </w:rPr>
        <w:t>Изучение принципа действия светодиодных светильников и ламп.</w:t>
      </w:r>
    </w:p>
    <w:p w14:paraId="0BCB8EE6" w14:textId="77777777" w:rsidR="0008795E" w:rsidRPr="008F248C" w:rsidRDefault="0008795E" w:rsidP="0008795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48C">
        <w:rPr>
          <w:rFonts w:ascii="Times New Roman" w:eastAsia="Times New Roman" w:hAnsi="Times New Roman" w:cs="Times New Roman"/>
          <w:sz w:val="28"/>
          <w:szCs w:val="28"/>
        </w:rPr>
        <w:t>Изучение принципа действия и схем сетей освещения переменного тока напряжением 230 В.</w:t>
      </w:r>
    </w:p>
    <w:p w14:paraId="1B35D0D8" w14:textId="77777777" w:rsidR="0008795E" w:rsidRPr="008F248C" w:rsidRDefault="0008795E" w:rsidP="0008795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48C">
        <w:rPr>
          <w:rFonts w:ascii="Times New Roman" w:eastAsia="Times New Roman" w:hAnsi="Times New Roman" w:cs="Times New Roman"/>
          <w:sz w:val="28"/>
          <w:szCs w:val="28"/>
        </w:rPr>
        <w:t>Изучение возможных схем сетей освещения постоянного тока.</w:t>
      </w:r>
    </w:p>
    <w:p w14:paraId="7A99A649" w14:textId="77777777" w:rsidR="0008795E" w:rsidRPr="008F248C" w:rsidRDefault="0008795E" w:rsidP="0008795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48C">
        <w:rPr>
          <w:rFonts w:ascii="Times New Roman" w:eastAsia="Times New Roman" w:hAnsi="Times New Roman" w:cs="Times New Roman"/>
          <w:sz w:val="28"/>
          <w:szCs w:val="28"/>
        </w:rPr>
        <w:t>Разработка методики исследования эффективности применения постоянного тока для построения сети освещения жилых домов и офисных учреждений</w:t>
      </w:r>
      <w:r w:rsidRPr="008F24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8D4B15" w14:textId="77777777" w:rsidR="0008795E" w:rsidRPr="008F248C" w:rsidRDefault="0008795E" w:rsidP="0008795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48C">
        <w:rPr>
          <w:rFonts w:ascii="Times New Roman" w:eastAsia="Times New Roman" w:hAnsi="Times New Roman" w:cs="Times New Roman"/>
          <w:sz w:val="28"/>
          <w:szCs w:val="28"/>
        </w:rPr>
        <w:t>Сбор исходных данных о параметрах светодиодных светильников.</w:t>
      </w:r>
    </w:p>
    <w:p w14:paraId="0E865B8B" w14:textId="77777777" w:rsidR="0008795E" w:rsidRPr="008F248C" w:rsidRDefault="0008795E" w:rsidP="0008795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48C">
        <w:rPr>
          <w:rFonts w:ascii="Times New Roman" w:eastAsia="Times New Roman" w:hAnsi="Times New Roman" w:cs="Times New Roman"/>
          <w:sz w:val="28"/>
          <w:szCs w:val="28"/>
        </w:rPr>
        <w:t>Исследования эффективности применения постоянного тока для построения сети освещения жилых домов и офисных учреждений на основе разработанной методики.</w:t>
      </w:r>
    </w:p>
    <w:p w14:paraId="5372A129" w14:textId="77777777" w:rsidR="0008795E" w:rsidRPr="008F248C" w:rsidRDefault="0008795E" w:rsidP="0008795E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48C">
        <w:rPr>
          <w:rFonts w:ascii="Times New Roman" w:eastAsia="Times New Roman" w:hAnsi="Times New Roman" w:cs="Times New Roman"/>
          <w:sz w:val="28"/>
          <w:szCs w:val="28"/>
        </w:rPr>
        <w:t>Обобщение полученных результатов и разработка предложений по применению постоянного тока для построения сети освещения жилых домов и офисных учреждений.</w:t>
      </w:r>
    </w:p>
    <w:p w14:paraId="6F9D8E8A" w14:textId="77777777" w:rsidR="0008795E" w:rsidRPr="009E45F3" w:rsidRDefault="0008795E" w:rsidP="0008795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E45F3">
        <w:rPr>
          <w:rFonts w:ascii="Times New Roman" w:hAnsi="Times New Roman" w:cs="Times New Roman"/>
          <w:sz w:val="28"/>
          <w:szCs w:val="28"/>
        </w:rPr>
        <w:t>татьи, материалы для подготовки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A722C83" w14:textId="77777777" w:rsidR="0008795E" w:rsidRPr="008F248C" w:rsidRDefault="00D044AF" w:rsidP="0008795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8795E" w:rsidRPr="008F248C">
          <w:rPr>
            <w:rStyle w:val="a4"/>
            <w:rFonts w:ascii="Times New Roman" w:hAnsi="Times New Roman" w:cs="Times New Roman"/>
            <w:sz w:val="28"/>
            <w:szCs w:val="28"/>
          </w:rPr>
          <w:t>https://elesant.ru/grupovye-seti/gruppovye-linii-osveshcheniya-obshchie-norma-i-pravila</w:t>
        </w:r>
      </w:hyperlink>
      <w:r w:rsidR="0008795E" w:rsidRPr="008F24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2521D" w14:textId="77777777" w:rsidR="0008795E" w:rsidRPr="008F248C" w:rsidRDefault="00D044AF" w:rsidP="0008795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8795E" w:rsidRPr="007D4B5E">
          <w:rPr>
            <w:rStyle w:val="a4"/>
            <w:rFonts w:ascii="Times New Roman" w:hAnsi="Times New Roman" w:cs="Times New Roman"/>
            <w:sz w:val="28"/>
            <w:szCs w:val="28"/>
          </w:rPr>
          <w:t>https://www.elec.ru/articles/osveshenie-na-postoyannom-toke-horosho-zabytoe-sta/</w:t>
        </w:r>
      </w:hyperlink>
      <w:r w:rsidR="000879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5090A" w14:textId="77777777" w:rsidR="0008795E" w:rsidRPr="00027D2F" w:rsidRDefault="0008795E" w:rsidP="0008795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27D2F">
        <w:rPr>
          <w:rStyle w:val="a4"/>
          <w:rFonts w:ascii="Times New Roman" w:hAnsi="Times New Roman" w:cs="Times New Roman"/>
          <w:sz w:val="28"/>
          <w:szCs w:val="28"/>
        </w:rPr>
        <w:t xml:space="preserve">Гудков В.А. О применении сетей постоянного тока для освещения / В сборнике: Перспективы </w:t>
      </w:r>
      <w:r>
        <w:rPr>
          <w:rStyle w:val="a4"/>
          <w:rFonts w:ascii="Times New Roman" w:hAnsi="Times New Roman" w:cs="Times New Roman"/>
          <w:sz w:val="28"/>
          <w:szCs w:val="28"/>
        </w:rPr>
        <w:t>р</w:t>
      </w:r>
      <w:r w:rsidRPr="00027D2F">
        <w:rPr>
          <w:rStyle w:val="a4"/>
          <w:rFonts w:ascii="Times New Roman" w:hAnsi="Times New Roman" w:cs="Times New Roman"/>
          <w:sz w:val="28"/>
          <w:szCs w:val="28"/>
        </w:rPr>
        <w:t>азвития Восточного Донбасса материалы VII-й международной и 65-й Всероссийской научно-практической конференции. Министерство образования и науки Российской Федерации; Южно-Российский государственный политехнический университет (НПИ) имени М.И. Платова. 2016. С. 42-43.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7D4B5E">
          <w:rPr>
            <w:rStyle w:val="a4"/>
            <w:rFonts w:ascii="Times New Roman" w:hAnsi="Times New Roman" w:cs="Times New Roman"/>
            <w:sz w:val="28"/>
            <w:szCs w:val="28"/>
          </w:rPr>
          <w:t>https://elibrary.ru/item.asp?id=26863134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)</w:t>
      </w:r>
    </w:p>
    <w:p w14:paraId="00288AB2" w14:textId="77777777" w:rsidR="00001796" w:rsidRDefault="00D044AF"/>
    <w:sectPr w:rsidR="00001796" w:rsidSect="00D469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328C8"/>
    <w:multiLevelType w:val="hybridMultilevel"/>
    <w:tmpl w:val="8028E41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2D1723"/>
    <w:multiLevelType w:val="hybridMultilevel"/>
    <w:tmpl w:val="B134A9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E8C6CCC"/>
    <w:multiLevelType w:val="hybridMultilevel"/>
    <w:tmpl w:val="DB8E7746"/>
    <w:lvl w:ilvl="0" w:tplc="CA8881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76E18D8"/>
    <w:multiLevelType w:val="hybridMultilevel"/>
    <w:tmpl w:val="ACB4F6E4"/>
    <w:lvl w:ilvl="0" w:tplc="11A8D3E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8983660"/>
    <w:multiLevelType w:val="hybridMultilevel"/>
    <w:tmpl w:val="7D5A6196"/>
    <w:lvl w:ilvl="0" w:tplc="11A8D3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5E"/>
    <w:rsid w:val="0008795E"/>
    <w:rsid w:val="003E0CE2"/>
    <w:rsid w:val="00532550"/>
    <w:rsid w:val="006F15D0"/>
    <w:rsid w:val="00D044AF"/>
    <w:rsid w:val="00D46944"/>
    <w:rsid w:val="00D6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5E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5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95E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879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5E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95E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87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6863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lec.ru/articles/osveshenie-na-postoyannom-toke-horosho-zabytoe-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sant.ru/grupovye-seti/gruppovye-linii-osveshcheniya-obshchie-norma-i-pravil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RePack by Diakov</cp:lastModifiedBy>
  <cp:revision>2</cp:revision>
  <dcterms:created xsi:type="dcterms:W3CDTF">2019-10-07T10:38:00Z</dcterms:created>
  <dcterms:modified xsi:type="dcterms:W3CDTF">2019-10-07T10:38:00Z</dcterms:modified>
</cp:coreProperties>
</file>