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036" w:rsidRDefault="00897036">
      <w:pPr>
        <w:jc w:val="center"/>
        <w:rPr>
          <w:rFonts w:ascii="Times New Roman" w:hAnsi="Times New Roman"/>
          <w:b/>
          <w:bCs/>
        </w:rPr>
      </w:pPr>
    </w:p>
    <w:p w:rsidR="00897036" w:rsidRDefault="000005E8">
      <w:pPr>
        <w:rPr>
          <w:rFonts w:ascii="Times New Roman" w:hAnsi="Times New Roman"/>
        </w:rPr>
      </w:pPr>
      <w:r w:rsidRPr="000005E8">
        <w:rPr>
          <w:b/>
          <w:noProof/>
          <w:lang w:eastAsia="ru-RU" w:bidi="ar-SA"/>
        </w:rPr>
        <w:drawing>
          <wp:anchor distT="0" distB="0" distL="0" distR="0" simplePos="0" relativeHeight="3" behindDoc="0" locked="0" layoutInCell="1" allowOverlap="1" wp14:anchorId="2634BF6A" wp14:editId="50A01754">
            <wp:simplePos x="0" y="0"/>
            <wp:positionH relativeFrom="column">
              <wp:posOffset>3517265</wp:posOffset>
            </wp:positionH>
            <wp:positionV relativeFrom="paragraph">
              <wp:posOffset>50800</wp:posOffset>
            </wp:positionV>
            <wp:extent cx="2626995" cy="1703705"/>
            <wp:effectExtent l="0" t="0" r="0" b="0"/>
            <wp:wrapSquare wrapText="largest"/>
            <wp:docPr id="1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995" cy="1703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005E8">
        <w:rPr>
          <w:rFonts w:ascii="Times New Roman" w:hAnsi="Times New Roman"/>
          <w:b/>
        </w:rPr>
        <w:t xml:space="preserve">Задача </w:t>
      </w:r>
      <w:r w:rsidRPr="000005E8">
        <w:rPr>
          <w:rFonts w:ascii="Times New Roman" w:hAnsi="Times New Roman"/>
          <w:b/>
        </w:rPr>
        <w:t>1.</w:t>
      </w:r>
      <w:r>
        <w:rPr>
          <w:rFonts w:ascii="Times New Roman" w:hAnsi="Times New Roman"/>
          <w:b/>
          <w:bCs/>
        </w:rPr>
        <w:t xml:space="preserve"> Мониторинг когнитивных технологических цепочек воздействий на сознание детей и молодёжи в сети Интернет</w:t>
      </w:r>
      <w:r>
        <w:rPr>
          <w:rFonts w:ascii="Times New Roman" w:hAnsi="Times New Roman"/>
        </w:rPr>
        <w:t>.</w:t>
      </w:r>
    </w:p>
    <w:p w:rsidR="00897036" w:rsidRDefault="00897036">
      <w:pPr>
        <w:rPr>
          <w:rFonts w:ascii="Times New Roman" w:hAnsi="Times New Roman"/>
        </w:rPr>
      </w:pPr>
    </w:p>
    <w:p w:rsidR="00897036" w:rsidRDefault="000005E8">
      <w:pPr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Проблемная зона:</w:t>
      </w:r>
    </w:p>
    <w:p w:rsidR="00897036" w:rsidRDefault="000005E8">
      <w:pPr>
        <w:ind w:firstLine="510"/>
        <w:jc w:val="both"/>
      </w:pPr>
      <w:r>
        <w:rPr>
          <w:rFonts w:ascii="Times New Roman" w:hAnsi="Times New Roman"/>
        </w:rPr>
        <w:t>Информационные и когнитивные технологии динамично развиваются и дополняют друг друга. NBIC — конвергенция уже затронула все области деятельности человека. Сейчас мы наблюдаем с вами, как эти технологии внедряются и используются для трансформации социальног</w:t>
      </w:r>
      <w:r>
        <w:rPr>
          <w:rFonts w:ascii="Times New Roman" w:hAnsi="Times New Roman"/>
        </w:rPr>
        <w:t>о поведения, что приводит к изменениям ценностных, смысловых структур личности и управлению оперативной мотивацией человека. Такое воздействие может быть использовано как для эффективной социализации и индивидуализации детей и молодёжи, так и для деструкти</w:t>
      </w:r>
      <w:r>
        <w:rPr>
          <w:rFonts w:ascii="Times New Roman" w:hAnsi="Times New Roman"/>
        </w:rPr>
        <w:t xml:space="preserve">вных, </w:t>
      </w:r>
      <w:proofErr w:type="spellStart"/>
      <w:r>
        <w:rPr>
          <w:rFonts w:ascii="Times New Roman" w:hAnsi="Times New Roman"/>
        </w:rPr>
        <w:t>девиантных</w:t>
      </w:r>
      <w:proofErr w:type="spellEnd"/>
      <w:r>
        <w:rPr>
          <w:rFonts w:ascii="Times New Roman" w:hAnsi="Times New Roman"/>
        </w:rPr>
        <w:t xml:space="preserve"> процессов. Для решения такого стратегически важного вопроса Указом Президента РФ была принята «</w:t>
      </w:r>
      <w:r>
        <w:rPr>
          <w:rStyle w:val="a5"/>
          <w:b w:val="0"/>
          <w:bCs w:val="0"/>
        </w:rPr>
        <w:t>Доктрина информационной безопасности Российской Федерации». Перед нашим государством в этой сфере стоят две проблемы: выявить скрытую социально-</w:t>
      </w:r>
      <w:r>
        <w:rPr>
          <w:rStyle w:val="a5"/>
          <w:b w:val="0"/>
          <w:bCs w:val="0"/>
        </w:rPr>
        <w:t xml:space="preserve">психологическую угрозу и своевременно принять контрмеры для предотвращения развития негативных сценариев. </w:t>
      </w:r>
    </w:p>
    <w:p w:rsidR="00897036" w:rsidRDefault="00897036">
      <w:pPr>
        <w:ind w:firstLine="510"/>
        <w:jc w:val="both"/>
        <w:rPr>
          <w:rStyle w:val="a5"/>
          <w:b w:val="0"/>
          <w:bCs w:val="0"/>
        </w:rPr>
      </w:pPr>
    </w:p>
    <w:p w:rsidR="00897036" w:rsidRDefault="000005E8">
      <w:pPr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Задание:</w:t>
      </w:r>
    </w:p>
    <w:p w:rsidR="00897036" w:rsidRDefault="000005E8">
      <w:pPr>
        <w:rPr>
          <w:rFonts w:ascii="Times New Roman" w:hAnsi="Times New Roman"/>
        </w:rPr>
      </w:pPr>
      <w:r>
        <w:rPr>
          <w:rFonts w:ascii="Times New Roman" w:hAnsi="Times New Roman"/>
        </w:rPr>
        <w:t>1. Выбрать для исследования два объекта: ресурс, игра, портал, сайт, группа, сообщество и т.д. в сети Интернет, которые воздействуют на фор</w:t>
      </w:r>
      <w:r>
        <w:rPr>
          <w:rFonts w:ascii="Times New Roman" w:hAnsi="Times New Roman"/>
        </w:rPr>
        <w:t>мирование личности и влияют на поведение детей и подростков в РФ. Один объект исследования с негативными последствиями для личности участника, второй с позитивным результатом.</w:t>
      </w:r>
    </w:p>
    <w:p w:rsidR="00897036" w:rsidRDefault="000005E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Изучить и сравнить методы и инструменты воздействия на </w:t>
      </w:r>
      <w:proofErr w:type="gramStart"/>
      <w:r>
        <w:rPr>
          <w:rFonts w:ascii="Times New Roman" w:hAnsi="Times New Roman"/>
        </w:rPr>
        <w:t>детей</w:t>
      </w:r>
      <w:proofErr w:type="gramEnd"/>
      <w:r>
        <w:rPr>
          <w:rFonts w:ascii="Times New Roman" w:hAnsi="Times New Roman"/>
        </w:rPr>
        <w:t xml:space="preserve"> и молодёжь объек</w:t>
      </w:r>
      <w:r>
        <w:rPr>
          <w:rFonts w:ascii="Times New Roman" w:hAnsi="Times New Roman"/>
        </w:rPr>
        <w:t>та №1 и объекта №2.</w:t>
      </w:r>
    </w:p>
    <w:p w:rsidR="00897036" w:rsidRDefault="000005E8">
      <w:pPr>
        <w:rPr>
          <w:rFonts w:ascii="Times New Roman" w:hAnsi="Times New Roman"/>
        </w:rPr>
      </w:pPr>
      <w:r>
        <w:rPr>
          <w:noProof/>
          <w:lang w:eastAsia="ru-RU" w:bidi="ar-SA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65405</wp:posOffset>
            </wp:positionH>
            <wp:positionV relativeFrom="paragraph">
              <wp:posOffset>52705</wp:posOffset>
            </wp:positionV>
            <wp:extent cx="4017645" cy="2357755"/>
            <wp:effectExtent l="0" t="0" r="0" b="0"/>
            <wp:wrapSquare wrapText="largest"/>
            <wp:docPr id="2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7645" cy="2357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</w:rPr>
        <w:t xml:space="preserve">3. Предложить свою авторскую когнитивную технологическую цепочку, которая бы стала базисом для общенародного и общедоступного ресурса для формирования личности «Человека-будущего», и базировалась бы на ЗОЖ, знании и уважении к истории </w:t>
      </w:r>
      <w:r>
        <w:rPr>
          <w:rFonts w:ascii="Times New Roman" w:hAnsi="Times New Roman"/>
        </w:rPr>
        <w:t>своей страны, семейных ценностях, принципах добра и справедливости.</w:t>
      </w:r>
    </w:p>
    <w:p w:rsidR="00897036" w:rsidRDefault="00897036">
      <w:pPr>
        <w:rPr>
          <w:rFonts w:ascii="Times New Roman" w:hAnsi="Times New Roman"/>
          <w:u w:val="single"/>
        </w:rPr>
      </w:pPr>
    </w:p>
    <w:p w:rsidR="00897036" w:rsidRDefault="000005E8">
      <w:pPr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Статьи и  материалы для подготовки:</w:t>
      </w:r>
    </w:p>
    <w:p w:rsidR="00897036" w:rsidRDefault="000005E8">
      <w:pPr>
        <w:rPr>
          <w:rFonts w:ascii="Times New Roman" w:hAnsi="Times New Roman"/>
        </w:rPr>
      </w:pPr>
      <w:r>
        <w:rPr>
          <w:rFonts w:ascii="Times New Roman" w:hAnsi="Times New Roman"/>
        </w:rPr>
        <w:t>1. Доклады участников форума «Цифровая гигиена»:</w:t>
      </w:r>
      <w:proofErr w:type="spellStart"/>
      <w:r>
        <w:fldChar w:fldCharType="begin"/>
      </w:r>
      <w:r>
        <w:instrText xml:space="preserve"> HYPERLINK "http://digital-gigiena.ru/" \h </w:instrText>
      </w:r>
      <w:r>
        <w:fldChar w:fldCharType="separate"/>
      </w:r>
      <w:r>
        <w:rPr>
          <w:rStyle w:val="-"/>
          <w:rFonts w:ascii="Times New Roman" w:hAnsi="Times New Roman"/>
        </w:rPr>
        <w:t>http</w:t>
      </w:r>
      <w:proofErr w:type="spellEnd"/>
      <w:r>
        <w:rPr>
          <w:rStyle w:val="-"/>
          <w:rFonts w:ascii="Times New Roman" w:hAnsi="Times New Roman"/>
        </w:rPr>
        <w:t>://digital-gigiena.ru/</w:t>
      </w:r>
      <w:r>
        <w:rPr>
          <w:rStyle w:val="-"/>
          <w:rFonts w:ascii="Times New Roman" w:hAnsi="Times New Roman"/>
        </w:rPr>
        <w:fldChar w:fldCharType="end"/>
      </w:r>
    </w:p>
    <w:p w:rsidR="00897036" w:rsidRDefault="000005E8">
      <w:r>
        <w:rPr>
          <w:rFonts w:ascii="Times New Roman" w:hAnsi="Times New Roman"/>
        </w:rPr>
        <w:t xml:space="preserve">2. Статья И.Ю. </w:t>
      </w:r>
      <w:proofErr w:type="spellStart"/>
      <w:r>
        <w:rPr>
          <w:rFonts w:ascii="Times New Roman" w:hAnsi="Times New Roman"/>
        </w:rPr>
        <w:t>Сундиева</w:t>
      </w:r>
      <w:proofErr w:type="spellEnd"/>
      <w:r>
        <w:rPr>
          <w:rFonts w:ascii="Times New Roman" w:hAnsi="Times New Roman"/>
        </w:rPr>
        <w:t xml:space="preserve"> «</w:t>
      </w:r>
      <w:r>
        <w:t>КОГНИ</w:t>
      </w:r>
      <w:r>
        <w:t>ТИВНЫЕ ТЕХНОЛОГИИ: ТЕМНАЯ СТОРОНА ПРОГРЕССА</w:t>
      </w:r>
      <w:r>
        <w:rPr>
          <w:rFonts w:ascii="Times New Roman" w:hAnsi="Times New Roman"/>
        </w:rPr>
        <w:t xml:space="preserve">»: </w:t>
      </w:r>
      <w:hyperlink r:id="rId7">
        <w:r>
          <w:rPr>
            <w:rStyle w:val="-"/>
            <w:rFonts w:ascii="Times New Roman" w:hAnsi="Times New Roman"/>
          </w:rPr>
          <w:t>http://spkurdyumov.ru/networks/kognitivnye-texnologii-temnaya-storona-progressa/</w:t>
        </w:r>
      </w:hyperlink>
    </w:p>
    <w:p w:rsidR="00897036" w:rsidRDefault="000005E8">
      <w:r>
        <w:rPr>
          <w:rFonts w:ascii="Times New Roman" w:hAnsi="Times New Roman"/>
        </w:rPr>
        <w:t>3. Материалы социального прое</w:t>
      </w:r>
      <w:r>
        <w:rPr>
          <w:rFonts w:ascii="Times New Roman" w:hAnsi="Times New Roman"/>
        </w:rPr>
        <w:t>кта:  http://киберстандарт</w:t>
      </w:r>
      <w:proofErr w:type="gramStart"/>
      <w:r>
        <w:rPr>
          <w:rFonts w:ascii="Times New Roman" w:hAnsi="Times New Roman"/>
        </w:rPr>
        <w:t>.р</w:t>
      </w:r>
      <w:proofErr w:type="gramEnd"/>
      <w:r>
        <w:rPr>
          <w:rFonts w:ascii="Times New Roman" w:hAnsi="Times New Roman"/>
        </w:rPr>
        <w:t xml:space="preserve">ф/ </w:t>
      </w:r>
    </w:p>
    <w:p w:rsidR="00897036" w:rsidRDefault="000005E8">
      <w:r>
        <w:rPr>
          <w:rFonts w:ascii="Times New Roman" w:hAnsi="Times New Roman"/>
        </w:rPr>
        <w:t xml:space="preserve">4.  Материалы проекта «Научи </w:t>
      </w:r>
      <w:proofErr w:type="gramStart"/>
      <w:r>
        <w:rPr>
          <w:rFonts w:ascii="Times New Roman" w:hAnsi="Times New Roman"/>
        </w:rPr>
        <w:t>хорошему</w:t>
      </w:r>
      <w:proofErr w:type="gramEnd"/>
      <w:r>
        <w:rPr>
          <w:rFonts w:ascii="Times New Roman" w:hAnsi="Times New Roman"/>
        </w:rPr>
        <w:t xml:space="preserve">»: </w:t>
      </w:r>
      <w:hyperlink r:id="rId8">
        <w:r>
          <w:rPr>
            <w:rStyle w:val="-"/>
            <w:rFonts w:ascii="Times New Roman" w:hAnsi="Times New Roman"/>
          </w:rPr>
          <w:t>https://whatisgood.ru/</w:t>
        </w:r>
      </w:hyperlink>
    </w:p>
    <w:p w:rsidR="00897036" w:rsidRDefault="000005E8">
      <w:hyperlink r:id="rId9">
        <w:r>
          <w:rPr>
            <w:rStyle w:val="a6"/>
            <w:rFonts w:ascii="Times New Roman" w:hAnsi="Times New Roman"/>
          </w:rPr>
          <w:t>Источник рисунка</w:t>
        </w:r>
      </w:hyperlink>
      <w:bookmarkStart w:id="0" w:name="_GoBack"/>
      <w:bookmarkEnd w:id="0"/>
    </w:p>
    <w:sectPr w:rsidR="00897036"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036"/>
    <w:rsid w:val="000005E8"/>
    <w:rsid w:val="0089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ans CJK SC" w:hAnsi="Liberation Serif" w:cs="Lohit Devanagari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1"/>
    <w:qFormat/>
    <w:pPr>
      <w:outlineLvl w:val="0"/>
    </w:pPr>
    <w:rPr>
      <w:rFonts w:ascii="Liberation Serif" w:hAnsi="Liberation Serif"/>
      <w:b/>
      <w:bCs/>
      <w:sz w:val="48"/>
      <w:szCs w:val="48"/>
    </w:rPr>
  </w:style>
  <w:style w:type="paragraph" w:styleId="2">
    <w:name w:val="heading 2"/>
    <w:basedOn w:val="a0"/>
    <w:next w:val="a1"/>
    <w:qFormat/>
    <w:pPr>
      <w:spacing w:before="200"/>
      <w:outlineLvl w:val="1"/>
    </w:pPr>
    <w:rPr>
      <w:rFonts w:ascii="Liberation Serif" w:hAnsi="Liberation Serif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5">
    <w:name w:val="Выделение жирным"/>
    <w:qFormat/>
    <w:rPr>
      <w:b/>
      <w:bCs/>
    </w:rPr>
  </w:style>
  <w:style w:type="character" w:customStyle="1" w:styleId="a6">
    <w:name w:val="Посещённая гиперссылка"/>
    <w:rPr>
      <w:color w:val="800000"/>
      <w:u w:val="single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7">
    <w:name w:val="List"/>
    <w:basedOn w:val="a1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9">
    <w:name w:val="index heading"/>
    <w:basedOn w:val="a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ans CJK SC" w:hAnsi="Liberation Serif" w:cs="Lohit Devanagari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1"/>
    <w:qFormat/>
    <w:pPr>
      <w:outlineLvl w:val="0"/>
    </w:pPr>
    <w:rPr>
      <w:rFonts w:ascii="Liberation Serif" w:hAnsi="Liberation Serif"/>
      <w:b/>
      <w:bCs/>
      <w:sz w:val="48"/>
      <w:szCs w:val="48"/>
    </w:rPr>
  </w:style>
  <w:style w:type="paragraph" w:styleId="2">
    <w:name w:val="heading 2"/>
    <w:basedOn w:val="a0"/>
    <w:next w:val="a1"/>
    <w:qFormat/>
    <w:pPr>
      <w:spacing w:before="200"/>
      <w:outlineLvl w:val="1"/>
    </w:pPr>
    <w:rPr>
      <w:rFonts w:ascii="Liberation Serif" w:hAnsi="Liberation Serif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5">
    <w:name w:val="Выделение жирным"/>
    <w:qFormat/>
    <w:rPr>
      <w:b/>
      <w:bCs/>
    </w:rPr>
  </w:style>
  <w:style w:type="character" w:customStyle="1" w:styleId="a6">
    <w:name w:val="Посещённая гиперссылка"/>
    <w:rPr>
      <w:color w:val="800000"/>
      <w:u w:val="single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7">
    <w:name w:val="List"/>
    <w:basedOn w:val="a1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9">
    <w:name w:val="index heading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hatisgood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pkurdyumov.ru/networks/kognitivnye-texnologii-temnaya-storona-progressa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&#1082;&#1080;&#1073;&#1077;&#1088;&#1089;&#1090;&#1072;&#1085;&#1076;&#1072;&#1088;&#1090;.&#1088;&#1092;/%d0%b0%d0%bd%d0%b0%d0%bb%d0%b8%d1%82%d0%b8%d0%ba%d0%b0/%d0%ba%d0%b0%d0%ba-%d0%b7%d0%b0%d1%89%d0%b8%d1%82%d0%b8%d1%82%d1%8c-%d1%81%d0%b5%d0%b1%d1%8f-%d0%b8-%d0%bd%d0%b0%d1%88%d0%b8%d1%85-%d0%b4%d0%b5%d1%82%d0%b5%d0%b9-%d0%b2-%d0%ba%d0%b8%d0%b1%d0%b5%d1%8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cp:lastPrinted>2019-09-29T21:55:00Z</cp:lastPrinted>
  <dcterms:created xsi:type="dcterms:W3CDTF">2019-10-01T06:30:00Z</dcterms:created>
  <dcterms:modified xsi:type="dcterms:W3CDTF">2019-10-01T06:30:00Z</dcterms:modified>
  <dc:language>ru-RU</dc:language>
</cp:coreProperties>
</file>